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r>
        <w:t>Ability and Risk Assessment</w:t>
      </w:r>
    </w:p>
    <w:p>
      <w:pPr>
        <w:pStyle w:val="4"/>
        <w:spacing w:line="480" w:lineRule="auto"/>
        <w:jc w:val="center"/>
      </w:pPr>
      <w:r>
        <w:t xml:space="preserve">Name </w:t>
      </w:r>
    </w:p>
    <w:p>
      <w:pPr>
        <w:pStyle w:val="4"/>
        <w:spacing w:line="480" w:lineRule="auto"/>
        <w:jc w:val="center"/>
      </w:pPr>
      <w:r>
        <w:t xml:space="preserve">Institutional affiliation </w:t>
      </w: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p>
    <w:p>
      <w:pPr>
        <w:pStyle w:val="4"/>
        <w:spacing w:line="480" w:lineRule="auto"/>
        <w:jc w:val="center"/>
      </w:pPr>
      <w:r>
        <w:t>Ability and Risk Assessment</w:t>
      </w:r>
    </w:p>
    <w:p>
      <w:pPr>
        <w:pStyle w:val="4"/>
        <w:spacing w:line="480" w:lineRule="auto"/>
        <w:ind w:firstLine="720"/>
      </w:pPr>
      <w:r>
        <w:t>Diligent Consulting Group provides healthy lifestyle solutions in support of the mission of the customers. As consultants in the Diligent Consulting Group, we have the core values of Dedication, Integrity, and Excellence that drives the group's undivided ability to partner with consumers in applying proven techniques to resolve the healthy lifestyle challenges of clients. After getting engaged on a consulting basis by Loving Organic Foods, a research and analysis were done to determine what motivates the buying habits of customers concerning age demographics.  
</w:t>
      </w:r>
    </w:p>
    <w:p>
      <w:pPr>
        <w:pStyle w:val="4"/>
        <w:spacing w:line="480" w:lineRule="auto"/>
        <w:ind w:firstLine="720"/>
      </w:pPr>
      <w:r>
        <w:t xml:space="preserve"> Organic food industry</w:t>
      </w:r>
    </w:p>
    <w:p>
      <w:pPr>
        <w:pStyle w:val="4"/>
        <w:spacing w:line="480" w:lineRule="auto"/>
        <w:ind w:firstLine="720"/>
      </w:pPr>
      <w:r>
        <w:t>Rapid growth in industrial development and population growth have exerted pressure on methods of agricultural production on improving the crop yield. Research has raised worries on the rising levels of using chemical fertilizers to increase crop yield. There is a growing awareness of the health impacts of the contaminant food products among the consumers. Turning towards organic food products has become an alternative to most consumers. Organic foods are the agricultural food products that do not contain genetically modified products.</w:t>
      </w:r>
    </w:p>
    <w:p>
      <w:pPr>
        <w:pStyle w:val="4"/>
        <w:spacing w:line="480" w:lineRule="auto"/>
        <w:ind w:firstLine="720"/>
      </w:pPr>
      <w:r>
        <w:t>Regarding animal breeding, organic foods do not contain growth hormones, chemicals, and antibiotics. Increasing awareness had led to an increase in the production and consumption of organic food products. Consumers of all ages are becoming aware of the harmful effects of the chemicals contained in the inorganic foods. There is a growing trend towards the purchase of organic food (Dettmann, &amp; Dimitri, 2009). A study regarding what induces consumers of different ages to turn towards organic food products is essential. There are motivating factors to the buying of organic foods which include environmental concern, health, and lifestyle, as well as product quality. This study aims at identifying the attitude of consumers of varying ages towards buying organic foods alongside the motivating factors.</w:t>
      </w:r>
    </w:p>
    <w:p>
      <w:pPr>
        <w:pStyle w:val="4"/>
        <w:spacing w:line="480" w:lineRule="auto"/>
        <w:ind w:firstLine="720"/>
      </w:pPr>
      <w:bookmarkStart w:id="0" w:name="_GoBack"/>
      <w:bookmarkEnd w:id="0"/>
      <w:r>
        <w:t>Conducting the analysis</w:t>
      </w:r>
    </w:p>
    <w:p>
      <w:pPr>
        <w:pStyle w:val="4"/>
        <w:spacing w:line="480" w:lineRule="auto"/>
        <w:ind w:firstLine="720"/>
      </w:pPr>
      <w:r>
        <w:t>Loving Organic Foods sent a survey to 200 customers previously consuming organic foods, and 124 respondents provided feedback. The feedback contained information on age, gender, organic products bought the most, where bought, the reason for buying and the influencing factor. The survey was inclusive of the age data of the past consumers who had bought organic foods in the last three months. In addition to age, some demographic factors, lifestyles and shopping behaviors influence the target market characteristics.  Demographic features used in this analysis include age and gender, lifestyle features used are healthy eating habits and the willingness to pay more as well as the frequency of buying is linked to shopping behavior. 
</w:t>
      </w:r>
    </w:p>
    <w:p>
      <w:pPr>
        <w:pStyle w:val="4"/>
        <w:spacing w:line="480" w:lineRule="auto"/>
        <w:ind w:firstLine="720"/>
      </w:pPr>
      <w:r>
        <w:t>Other factors influencing the purchase of organic foods
</w:t>
      </w:r>
    </w:p>
    <w:p>
      <w:pPr>
        <w:pStyle w:val="4"/>
        <w:spacing w:line="480" w:lineRule="auto"/>
        <w:ind w:firstLine="720"/>
      </w:pPr>
      <w:r>
        <w:t>Moreover, environmental care contributes to the buying of foods products including organic foods. Studies have shown that organic products are less harmful to the environment. Consumers are becoming more aware of protecting the environment (Basha et al., 2015). The healthy concern, as well as lifestyle, also affects the buying of organic products. Consumers are becoming more aware of their health and the choice of their food regarding staying healthy. Health issues influence the attitude of the consumer towards organic food products. The attitude of the consumers makes them willing to pay more or less for organic foods as well as their frequency. Health conscious lifestyle is a foremost motivating factor for the purchase of organic foods and the willingness to pay for them (Basha et al., 2015). Note that a higher price tag and the doubt regarding the genuineness of organic food certification are the barriers to consumption behavior of organic foods.
</w:t>
      </w:r>
    </w:p>
    <w:p>
      <w:pPr>
        <w:pStyle w:val="4"/>
        <w:spacing w:line="480" w:lineRule="auto"/>
        <w:ind w:firstLine="720"/>
      </w:pPr>
      <w:r>
        <w:t xml:space="preserve">Results and discussion </w:t>
      </w:r>
    </w:p>
    <w:p>
      <w:pPr>
        <w:pStyle w:val="4"/>
        <w:spacing w:line="480" w:lineRule="auto"/>
        <w:ind w:firstLine="720"/>
      </w:pPr>
      <w:r>
        <w:t>In the analysis of the study, age and other demographic characteristics of buyers as the independent variables were analyzed about the choice of organic products for consumption. Also, an analysis was done on the facts that are important in consumer behavior during the choice of organic food products. The dependent variables included the place where the buyers buy organic products, the products they buy most, the reason to buy and the influence on purchasing. 
</w:t>
      </w:r>
    </w:p>
    <w:tbl>
      <w:tblPr>
        <w:tblStyle w:val="7"/>
        <w:tblW w:w="957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192"/>
        <w:gridCol w:w="3192"/>
        <w:gridCol w:w="319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Age category</w:t>
            </w:r>
          </w:p>
        </w:tc>
        <w:tc>
          <w:tcPr>
            <w:tcW w:w="3192" w:type="dxa"/>
          </w:tcPr>
          <w:p>
            <w:pPr>
              <w:pStyle w:val="4"/>
              <w:spacing w:line="480" w:lineRule="auto"/>
              <w:ind w:firstLine="720"/>
            </w:pPr>
            <w:r>
              <w:t>Number of consumers</w:t>
            </w:r>
          </w:p>
        </w:tc>
        <w:tc>
          <w:tcPr>
            <w:tcW w:w="3192" w:type="dxa"/>
          </w:tcPr>
          <w:p>
            <w:pPr>
              <w:pStyle w:val="4"/>
              <w:spacing w:line="480" w:lineRule="auto"/>
              <w:ind w:firstLine="720"/>
            </w:pPr>
            <w:r>
              <w:t xml:space="preserve">Percentage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Up to 20</w:t>
            </w:r>
          </w:p>
        </w:tc>
        <w:tc>
          <w:tcPr>
            <w:tcW w:w="3192" w:type="dxa"/>
          </w:tcPr>
          <w:p>
            <w:pPr>
              <w:pStyle w:val="4"/>
              <w:spacing w:line="480" w:lineRule="auto"/>
              <w:ind w:firstLine="720"/>
            </w:pPr>
            <w:r>
              <w:t>7</w:t>
            </w:r>
          </w:p>
        </w:tc>
        <w:tc>
          <w:tcPr>
            <w:tcW w:w="3192" w:type="dxa"/>
          </w:tcPr>
          <w:p>
            <w:pPr>
              <w:pStyle w:val="4"/>
              <w:spacing w:line="480" w:lineRule="auto"/>
              <w:ind w:firstLine="720"/>
            </w:pPr>
            <w:r>
              <w:t>5.6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21-30</w:t>
            </w:r>
          </w:p>
        </w:tc>
        <w:tc>
          <w:tcPr>
            <w:tcW w:w="3192" w:type="dxa"/>
          </w:tcPr>
          <w:p>
            <w:pPr>
              <w:pStyle w:val="4"/>
              <w:spacing w:line="480" w:lineRule="auto"/>
              <w:ind w:firstLine="720"/>
            </w:pPr>
            <w:r>
              <w:t>25</w:t>
            </w:r>
          </w:p>
        </w:tc>
        <w:tc>
          <w:tcPr>
            <w:tcW w:w="3192" w:type="dxa"/>
          </w:tcPr>
          <w:p>
            <w:pPr>
              <w:pStyle w:val="4"/>
              <w:spacing w:line="480" w:lineRule="auto"/>
              <w:ind w:firstLine="720"/>
            </w:pPr>
            <w:r>
              <w:t>20.1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31-40</w:t>
            </w:r>
          </w:p>
        </w:tc>
        <w:tc>
          <w:tcPr>
            <w:tcW w:w="3192" w:type="dxa"/>
          </w:tcPr>
          <w:p>
            <w:pPr>
              <w:pStyle w:val="4"/>
              <w:spacing w:line="480" w:lineRule="auto"/>
              <w:ind w:firstLine="720"/>
            </w:pPr>
            <w:r>
              <w:t>37</w:t>
            </w:r>
          </w:p>
        </w:tc>
        <w:tc>
          <w:tcPr>
            <w:tcW w:w="3192" w:type="dxa"/>
          </w:tcPr>
          <w:p>
            <w:pPr>
              <w:pStyle w:val="4"/>
              <w:spacing w:line="480" w:lineRule="auto"/>
              <w:ind w:firstLine="720"/>
            </w:pPr>
            <w:r>
              <w:t>29.8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41-50</w:t>
            </w:r>
          </w:p>
        </w:tc>
        <w:tc>
          <w:tcPr>
            <w:tcW w:w="3192" w:type="dxa"/>
          </w:tcPr>
          <w:p>
            <w:pPr>
              <w:pStyle w:val="4"/>
              <w:spacing w:line="480" w:lineRule="auto"/>
              <w:ind w:firstLine="720"/>
            </w:pPr>
            <w:r>
              <w:t>30</w:t>
            </w:r>
          </w:p>
        </w:tc>
        <w:tc>
          <w:tcPr>
            <w:tcW w:w="3192" w:type="dxa"/>
          </w:tcPr>
          <w:p>
            <w:pPr>
              <w:pStyle w:val="4"/>
              <w:spacing w:line="480" w:lineRule="auto"/>
              <w:ind w:firstLine="720"/>
            </w:pPr>
            <w:r>
              <w:t>24.1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51-60</w:t>
            </w:r>
          </w:p>
        </w:tc>
        <w:tc>
          <w:tcPr>
            <w:tcW w:w="3192" w:type="dxa"/>
          </w:tcPr>
          <w:p>
            <w:pPr>
              <w:pStyle w:val="4"/>
              <w:spacing w:line="480" w:lineRule="auto"/>
              <w:ind w:firstLine="720"/>
            </w:pPr>
            <w:r>
              <w:t>15</w:t>
            </w:r>
          </w:p>
        </w:tc>
        <w:tc>
          <w:tcPr>
            <w:tcW w:w="3192" w:type="dxa"/>
          </w:tcPr>
          <w:p>
            <w:pPr>
              <w:pStyle w:val="4"/>
              <w:spacing w:line="480" w:lineRule="auto"/>
              <w:ind w:firstLine="720"/>
            </w:pPr>
            <w:r>
              <w:t>12.1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c>
          <w:tcPr>
            <w:tcW w:w="3192" w:type="dxa"/>
          </w:tcPr>
          <w:p>
            <w:pPr>
              <w:pStyle w:val="4"/>
              <w:spacing w:line="480" w:lineRule="auto"/>
              <w:ind w:firstLine="720"/>
            </w:pPr>
            <w:r>
              <w:t>Over 60</w:t>
            </w:r>
          </w:p>
        </w:tc>
        <w:tc>
          <w:tcPr>
            <w:tcW w:w="3192" w:type="dxa"/>
          </w:tcPr>
          <w:p>
            <w:pPr>
              <w:pStyle w:val="4"/>
              <w:spacing w:line="480" w:lineRule="auto"/>
              <w:ind w:firstLine="720"/>
            </w:pPr>
            <w:r>
              <w:t>10</w:t>
            </w:r>
          </w:p>
        </w:tc>
        <w:tc>
          <w:tcPr>
            <w:tcW w:w="3192" w:type="dxa"/>
          </w:tcPr>
          <w:p>
            <w:pPr>
              <w:pStyle w:val="4"/>
              <w:spacing w:line="480" w:lineRule="auto"/>
              <w:ind w:firstLine="720"/>
            </w:pPr>
            <w:r>
              <w:t>8.0</w:t>
            </w:r>
          </w:p>
        </w:tc>
      </w:tr>
    </w:tbl>
    <w:p>
      <w:pPr>
        <w:pStyle w:val="4"/>
        <w:spacing w:line="480" w:lineRule="auto"/>
        <w:ind w:firstLine="720"/>
        <w:rPr>
          <w:b/>
        </w:rPr>
      </w:pPr>
      <w:r>
        <w:rPr>
          <w:b/>
        </w:rPr>
        <w:t xml:space="preserve">Histogram </w:t>
      </w:r>
    </w:p>
    <w:p>
      <w:pPr>
        <w:pStyle w:val="4"/>
        <w:spacing w:line="480" w:lineRule="auto"/>
        <w:ind w:firstLine="720"/>
        <w:rPr>
          <w:b/>
        </w:rPr>
      </w:pPr>
      <w:r>
        <w:rPr>
          <w:b/>
        </w:rPr>
        <w:t>Mean, median, mode</w:t>
      </w:r>
    </w:p>
    <w:p>
      <w:pPr>
        <w:pStyle w:val="4"/>
        <w:spacing w:line="480" w:lineRule="auto"/>
        <w:ind w:firstLine="720"/>
      </w:pPr>
    </w:p>
    <w:p>
      <w:pPr>
        <w:pStyle w:val="4"/>
        <w:spacing w:line="480" w:lineRule="auto"/>
        <w:ind w:firstLine="720"/>
      </w:pPr>
      <w:r>
        <w:t>From the 200 consumers that were surveyed, 124 responded positively to have used organic products in their nutrition, and this forms a significant percentage of organic food purchase. The number is almost three times more than those not consuming organic food products. A significant observation was made regarding the highest number of consumers coming from the urban centers as compared to those from rural areas.
</w:t>
      </w:r>
    </w:p>
    <w:p>
      <w:pPr>
        <w:pStyle w:val="4"/>
        <w:spacing w:line="480" w:lineRule="auto"/>
        <w:ind w:firstLine="720"/>
      </w:pPr>
      <w:r>
        <w:t>Considering the age factor which was the main scope of this study, it was found that most consumers of organic food products were aged between 31 and 40 and the least consumers of the organic foods were aged up to 20 and over 60 years. It was noted that the aged people are consuming less of the organic food products produced than younger people. It is even though the aged population is more prone to health conditions. The truth is that the younger generation adopts new products easily and is greatly influenced by media information. Moreover, females are more motivated to buy healthy foods. A greater percentage of females were buying organic food and believed that they were taking care of their health, physical appearance and thought it was an easier way of spending their money. 
</w:t>
      </w:r>
    </w:p>
    <w:p>
      <w:pPr>
        <w:pStyle w:val="4"/>
        <w:spacing w:line="480" w:lineRule="auto"/>
        <w:ind w:firstLine="720"/>
      </w:pPr>
      <w:r>
        <w:t>When considering the reasons for buying organic foods, it was found that consumers decided to buy the foods to protect their health as they believed the food products contained fewer chemicals. The consumers are much are of their well being. The problems contributing to the limited use of organic food products are high price tags (Cronin, 2015) and poorly developed distribution channels. Moreover, there are insufficient offers with few available sale markets. There is a need to improve the selling network as well as recognizing the need for diverse buyers. Many consumers decide on buying using their own decision hence the conclusion that food choice and consumption is very personal.
</w:t>
      </w:r>
    </w:p>
    <w:p>
      <w:pPr>
        <w:pStyle w:val="4"/>
        <w:spacing w:line="480" w:lineRule="auto"/>
        <w:ind w:firstLine="720"/>
      </w:pPr>
      <w:r>
        <w:t xml:space="preserve">Conclusion </w:t>
      </w:r>
    </w:p>
    <w:p>
      <w:pPr>
        <w:spacing w:after="0" w:line="480" w:lineRule="auto"/>
        <w:ind w:firstLine="720"/>
        <w:rPr>
          <w:rFonts w:eastAsia="Times New Roman"/>
        </w:rPr>
      </w:pPr>
      <w:r>
        <w:rPr>
          <w:rFonts w:eastAsia="Times New Roman"/>
        </w:rPr>
        <w:t>Based on the survey of customers of Loving Organic Foods, it is confirmed that the purchase of organic foods is dependent on age and other socio-demographic factors. During the marketing activities, shaping the food consumer profile for the territory of Loving Organic Foods needs to be suggested. The decision to buy organic foods is a decision made by buyers. There is no external influence which should request for a personalized strategy to buyers. There is a need for the psychologists, nutritionists and doctors to be part of the strategies to be used by marketers. Other types of people need to be educated and treated to be more intensive organic food buyers who will be done by raising trust and awareness. There is a need for the development of social networks for social organic food marketing. Marketers are advised to establish special approaches for communication, pricing, positioning and distribution of organic foods. Increase in the consumption of organic foods will stimulate organic food production which will protect the environment and will improve people's health. Improved health will lower the health system expenses. This study will be useful for providing a basis for further research.
</w:t>
      </w: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rPr>
          <w:rFonts w:eastAsia="Times New Roman"/>
        </w:rPr>
      </w:pPr>
    </w:p>
    <w:p>
      <w:pPr>
        <w:spacing w:after="0" w:line="480" w:lineRule="auto"/>
        <w:ind w:firstLine="720"/>
        <w:jc w:val="center"/>
        <w:rPr>
          <w:rFonts w:eastAsia="Times New Roman"/>
        </w:rPr>
      </w:pPr>
      <w:r>
        <w:rPr>
          <w:rFonts w:eastAsia="Times New Roman"/>
        </w:rPr>
        <w:t>References</w:t>
      </w:r>
    </w:p>
    <w:p>
      <w:pPr>
        <w:spacing w:after="0" w:line="240" w:lineRule="auto"/>
        <w:ind w:left="720" w:hanging="720"/>
        <w:rPr>
          <w:rFonts w:eastAsia="Times New Roman"/>
        </w:rPr>
      </w:pPr>
      <w:r>
        <w:rPr>
          <w:rFonts w:eastAsia="Times New Roman"/>
        </w:rPr>
        <w:t xml:space="preserve">Basha, M. B., Mason, C., Shamsudin, M. F., Hussain, H. I., &amp; Salem, M. A. (2015). Consumers attitude towards organic food. </w:t>
      </w:r>
      <w:r>
        <w:rPr>
          <w:rFonts w:eastAsia="Times New Roman"/>
          <w:i/>
          <w:iCs/>
        </w:rPr>
        <w:t>Procedia Economics and Finance</w:t>
      </w:r>
      <w:r>
        <w:rPr>
          <w:rFonts w:eastAsia="Times New Roman"/>
        </w:rPr>
        <w:t xml:space="preserve">, </w:t>
      </w:r>
      <w:r>
        <w:rPr>
          <w:rFonts w:eastAsia="Times New Roman"/>
          <w:i/>
          <w:iCs/>
        </w:rPr>
        <w:t>31</w:t>
      </w:r>
      <w:r>
        <w:rPr>
          <w:rFonts w:eastAsia="Times New Roman"/>
        </w:rPr>
        <w:t>, 444-452.</w:t>
      </w:r>
    </w:p>
    <w:p>
      <w:pPr>
        <w:spacing w:after="0" w:line="480" w:lineRule="auto"/>
        <w:ind w:left="720" w:hanging="720"/>
        <w:rPr>
          <w:rFonts w:eastAsia="Times New Roman"/>
        </w:rPr>
      </w:pPr>
    </w:p>
    <w:p>
      <w:pPr>
        <w:spacing w:after="0" w:line="240" w:lineRule="auto"/>
        <w:ind w:left="720" w:hanging="720"/>
        <w:rPr>
          <w:rFonts w:eastAsia="Times New Roman"/>
        </w:rPr>
      </w:pPr>
      <w:r>
        <w:rPr>
          <w:rFonts w:eastAsia="Times New Roman"/>
        </w:rPr>
        <w:t>Cronin, C. (2015). The organic food industry: An analysis of supply and demand via aggregate prices.</w:t>
      </w:r>
    </w:p>
    <w:p>
      <w:pPr>
        <w:spacing w:after="0" w:line="240" w:lineRule="auto"/>
        <w:ind w:left="720" w:hanging="720"/>
        <w:rPr>
          <w:rFonts w:eastAsia="Times New Roman"/>
        </w:rPr>
      </w:pPr>
    </w:p>
    <w:p>
      <w:pPr>
        <w:spacing w:after="0" w:line="240" w:lineRule="auto"/>
        <w:ind w:left="720" w:hanging="720"/>
        <w:rPr>
          <w:rFonts w:eastAsia="Times New Roman"/>
        </w:rPr>
      </w:pPr>
      <w:r>
        <w:rPr>
          <w:rFonts w:eastAsia="Times New Roman"/>
        </w:rPr>
        <w:t xml:space="preserve">Dettmann, R. L., &amp; Dimitri, C. (2009). Who's buying organic vegetables? Demographic characteristics of US consumers. </w:t>
      </w:r>
      <w:r>
        <w:rPr>
          <w:rFonts w:eastAsia="Times New Roman"/>
          <w:i/>
          <w:iCs/>
        </w:rPr>
        <w:t>Journal of Food Products Marketing</w:t>
      </w:r>
      <w:r>
        <w:rPr>
          <w:rFonts w:eastAsia="Times New Roman"/>
        </w:rPr>
        <w:t xml:space="preserve">, </w:t>
      </w:r>
      <w:r>
        <w:rPr>
          <w:rFonts w:eastAsia="Times New Roman"/>
          <w:i/>
          <w:iCs/>
        </w:rPr>
        <w:t>16</w:t>
      </w:r>
      <w:r>
        <w:rPr>
          <w:rFonts w:eastAsia="Times New Roman"/>
        </w:rPr>
        <w:t>(1), 79-91.</w:t>
      </w:r>
    </w:p>
    <w:p>
      <w:pPr>
        <w:spacing w:after="0" w:line="480" w:lineRule="auto"/>
        <w:ind w:left="720" w:hanging="720"/>
        <w:rPr>
          <w:rFonts w:eastAsia="Times New Roman"/>
        </w:rPr>
      </w:pPr>
    </w:p>
    <w:p>
      <w:pPr>
        <w:pStyle w:val="4"/>
        <w:spacing w:line="480" w:lineRule="auto"/>
        <w:ind w:firstLine="720"/>
      </w:pPr>
    </w:p>
    <w:p>
      <w:pPr>
        <w:spacing w:after="0" w:line="480" w:lineRule="auto"/>
        <w:ind w:firstLine="720"/>
        <w:rPr>
          <w:rFonts w:eastAsia="Times New Roman"/>
          <w:sz w:val="21"/>
          <w:szCs w:val="21"/>
        </w:rPr>
      </w:pPr>
    </w:p>
    <w:p>
      <w:pPr>
        <w:spacing w:after="0" w:line="480" w:lineRule="auto"/>
        <w:ind w:firstLine="720"/>
        <w:rPr>
          <w:rFonts w:eastAsia="Times New Roman"/>
        </w:rPr>
      </w:pPr>
    </w:p>
    <w:p>
      <w:pPr>
        <w:spacing w:after="0" w:line="480" w:lineRule="auto"/>
        <w:ind w:firstLine="720"/>
        <w:rPr>
          <w:rFonts w:eastAsia="Times New Roman"/>
        </w:rPr>
      </w:pPr>
    </w:p>
    <w:p>
      <w:pPr>
        <w:pStyle w:val="4"/>
        <w:spacing w:line="480" w:lineRule="auto"/>
        <w:ind w:firstLine="720"/>
      </w:pPr>
    </w:p>
    <w:p>
      <w:pPr>
        <w:spacing w:line="480" w:lineRule="auto"/>
        <w:ind w:firstLine="720"/>
      </w:pP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57297"/>
      <w:docPartObj>
        <w:docPartGallery w:val="autotext"/>
      </w:docPartObj>
    </w:sdtPr>
    <w:sdtContent>
      <w:p>
        <w:pPr>
          <w:pStyle w:val="3"/>
          <w:jc w:val="right"/>
        </w:pPr>
        <w:r>
          <w:t xml:space="preserve">ABILITY AND RISK ASSESSMENT                                                                                           </w:t>
        </w:r>
        <w:r>
          <w:fldChar w:fldCharType="begin"/>
        </w:r>
        <w:r>
          <w:instrText xml:space="preserve"> PAGE   \* MERGEFORMAT </w:instrText>
        </w:r>
        <w:r>
          <w:fldChar w:fldCharType="separate"/>
        </w:r>
        <w:r>
          <w:t>6</w:t>
        </w:r>
        <w:r>
          <w:fldChar w:fldCharType="end"/>
        </w:r>
      </w:p>
    </w:sdtContent>
  </w:sdt>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t>Running head: ABILITY AND RISK ASSESSMENT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20"/>
  <w:displayHorizontalDrawingGridEvery w:val="2"/>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FF2"/>
    <w:rsid w:val="00037472"/>
    <w:rsid w:val="00041251"/>
    <w:rsid w:val="00045A81"/>
    <w:rsid w:val="00086A88"/>
    <w:rsid w:val="00087649"/>
    <w:rsid w:val="000A04CE"/>
    <w:rsid w:val="000C28B5"/>
    <w:rsid w:val="00117E99"/>
    <w:rsid w:val="001265C5"/>
    <w:rsid w:val="00143B05"/>
    <w:rsid w:val="00143B90"/>
    <w:rsid w:val="00187B06"/>
    <w:rsid w:val="001902C8"/>
    <w:rsid w:val="001922CB"/>
    <w:rsid w:val="001D096E"/>
    <w:rsid w:val="001D2588"/>
    <w:rsid w:val="001F6D44"/>
    <w:rsid w:val="00204D39"/>
    <w:rsid w:val="00223294"/>
    <w:rsid w:val="00273D7B"/>
    <w:rsid w:val="00286D1B"/>
    <w:rsid w:val="002A6789"/>
    <w:rsid w:val="002C50E3"/>
    <w:rsid w:val="0031610A"/>
    <w:rsid w:val="00354D3A"/>
    <w:rsid w:val="00371897"/>
    <w:rsid w:val="00386F80"/>
    <w:rsid w:val="003B21F0"/>
    <w:rsid w:val="003B72D4"/>
    <w:rsid w:val="00435343"/>
    <w:rsid w:val="00461BC3"/>
    <w:rsid w:val="00471116"/>
    <w:rsid w:val="004937EF"/>
    <w:rsid w:val="004A720E"/>
    <w:rsid w:val="004B2C4B"/>
    <w:rsid w:val="004B407C"/>
    <w:rsid w:val="004B4D27"/>
    <w:rsid w:val="004B5A3D"/>
    <w:rsid w:val="004B7779"/>
    <w:rsid w:val="004C0EBD"/>
    <w:rsid w:val="004E5B72"/>
    <w:rsid w:val="004F26F5"/>
    <w:rsid w:val="00504FFF"/>
    <w:rsid w:val="005074B0"/>
    <w:rsid w:val="0052767A"/>
    <w:rsid w:val="005507DE"/>
    <w:rsid w:val="005566A2"/>
    <w:rsid w:val="005E5078"/>
    <w:rsid w:val="006112B8"/>
    <w:rsid w:val="00674CEE"/>
    <w:rsid w:val="006801FA"/>
    <w:rsid w:val="00680B3E"/>
    <w:rsid w:val="00686243"/>
    <w:rsid w:val="006B709E"/>
    <w:rsid w:val="00717315"/>
    <w:rsid w:val="00727281"/>
    <w:rsid w:val="00733FB1"/>
    <w:rsid w:val="007B13BE"/>
    <w:rsid w:val="007B7A61"/>
    <w:rsid w:val="007C2EAE"/>
    <w:rsid w:val="007D6AA3"/>
    <w:rsid w:val="008245DB"/>
    <w:rsid w:val="00827893"/>
    <w:rsid w:val="008415EA"/>
    <w:rsid w:val="00874CFA"/>
    <w:rsid w:val="00892250"/>
    <w:rsid w:val="008B3108"/>
    <w:rsid w:val="008B68F7"/>
    <w:rsid w:val="008B7BA8"/>
    <w:rsid w:val="008F08CB"/>
    <w:rsid w:val="00905B6A"/>
    <w:rsid w:val="009418DE"/>
    <w:rsid w:val="00962FDC"/>
    <w:rsid w:val="00970BD0"/>
    <w:rsid w:val="009823BA"/>
    <w:rsid w:val="009B497B"/>
    <w:rsid w:val="009B538A"/>
    <w:rsid w:val="009E0FEE"/>
    <w:rsid w:val="009E39FA"/>
    <w:rsid w:val="009E424B"/>
    <w:rsid w:val="00A0374E"/>
    <w:rsid w:val="00A12471"/>
    <w:rsid w:val="00A35B7B"/>
    <w:rsid w:val="00A8240F"/>
    <w:rsid w:val="00A92181"/>
    <w:rsid w:val="00AA5E31"/>
    <w:rsid w:val="00AA7398"/>
    <w:rsid w:val="00AC135F"/>
    <w:rsid w:val="00AD626D"/>
    <w:rsid w:val="00AF67F5"/>
    <w:rsid w:val="00B02A3C"/>
    <w:rsid w:val="00B45A18"/>
    <w:rsid w:val="00B779C7"/>
    <w:rsid w:val="00BA5133"/>
    <w:rsid w:val="00BC5185"/>
    <w:rsid w:val="00BF50B7"/>
    <w:rsid w:val="00C120E8"/>
    <w:rsid w:val="00C20F00"/>
    <w:rsid w:val="00C26432"/>
    <w:rsid w:val="00C345FD"/>
    <w:rsid w:val="00C66518"/>
    <w:rsid w:val="00CA7CCA"/>
    <w:rsid w:val="00CC0157"/>
    <w:rsid w:val="00D000C6"/>
    <w:rsid w:val="00D370B7"/>
    <w:rsid w:val="00D40F76"/>
    <w:rsid w:val="00D468ED"/>
    <w:rsid w:val="00D77ABB"/>
    <w:rsid w:val="00D83C59"/>
    <w:rsid w:val="00DB0A08"/>
    <w:rsid w:val="00DC5A91"/>
    <w:rsid w:val="00DC6FF2"/>
    <w:rsid w:val="00DD2591"/>
    <w:rsid w:val="00DE0741"/>
    <w:rsid w:val="00DE325F"/>
    <w:rsid w:val="00DE5600"/>
    <w:rsid w:val="00E83F66"/>
    <w:rsid w:val="00E92A02"/>
    <w:rsid w:val="00E943C9"/>
    <w:rsid w:val="00EC7384"/>
    <w:rsid w:val="00EE2754"/>
    <w:rsid w:val="00EF4613"/>
    <w:rsid w:val="00F36CEB"/>
    <w:rsid w:val="00F71045"/>
    <w:rsid w:val="00F72AFE"/>
    <w:rsid w:val="00FA0600"/>
    <w:rsid w:val="00FA356C"/>
    <w:rsid w:val="00FA3C0F"/>
    <w:rsid w:val="00FE1CD8"/>
    <w:rsid w:val="00FE5793"/>
    <w:rsid w:val="00FE66AA"/>
    <w:rsid w:val="00FF3422"/>
    <w:rsid w:val="014A7622"/>
    <w:rsid w:val="09CA3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heme="minorHAns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cs="Times New Roman" w:eastAsiaTheme="minorHAnsi"/>
      <w:sz w:val="24"/>
      <w:szCs w:val="24"/>
      <w:lang w:val="en-US"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2"/>
    <w:semiHidden/>
    <w:unhideWhenUsed/>
    <w:uiPriority w:val="99"/>
    <w:pPr>
      <w:tabs>
        <w:tab w:val="center" w:pos="4680"/>
        <w:tab w:val="right" w:pos="9360"/>
      </w:tabs>
      <w:spacing w:after="0" w:line="240" w:lineRule="auto"/>
    </w:pPr>
  </w:style>
  <w:style w:type="paragraph" w:styleId="3">
    <w:name w:val="header"/>
    <w:basedOn w:val="1"/>
    <w:link w:val="11"/>
    <w:unhideWhenUsed/>
    <w:uiPriority w:val="99"/>
    <w:pPr>
      <w:tabs>
        <w:tab w:val="center" w:pos="4680"/>
        <w:tab w:val="right" w:pos="9360"/>
      </w:tabs>
      <w:spacing w:after="0" w:line="240" w:lineRule="auto"/>
    </w:pPr>
  </w:style>
  <w:style w:type="paragraph" w:styleId="4">
    <w:name w:val="Normal (Web)"/>
    <w:basedOn w:val="1"/>
    <w:semiHidden/>
    <w:unhideWhenUsed/>
    <w:uiPriority w:val="99"/>
    <w:pPr>
      <w:spacing w:before="100" w:beforeAutospacing="1" w:after="100" w:afterAutospacing="1" w:line="240" w:lineRule="auto"/>
    </w:pPr>
    <w:rPr>
      <w:rFonts w:eastAsia="Times New Roman"/>
    </w:rPr>
  </w:style>
  <w:style w:type="table" w:styleId="7">
    <w:name w:val="Table Grid"/>
    <w:basedOn w:val="6"/>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8">
    <w:name w:val="lsf"/>
    <w:basedOn w:val="5"/>
    <w:uiPriority w:val="0"/>
  </w:style>
  <w:style w:type="character" w:customStyle="1" w:styleId="9">
    <w:name w:val="ff1"/>
    <w:basedOn w:val="5"/>
    <w:uiPriority w:val="0"/>
  </w:style>
  <w:style w:type="character" w:customStyle="1" w:styleId="10">
    <w:name w:val="ls0"/>
    <w:basedOn w:val="5"/>
    <w:uiPriority w:val="0"/>
  </w:style>
  <w:style w:type="character" w:customStyle="1" w:styleId="11">
    <w:name w:val="Header Char"/>
    <w:basedOn w:val="5"/>
    <w:link w:val="3"/>
    <w:uiPriority w:val="99"/>
  </w:style>
  <w:style w:type="character" w:customStyle="1" w:styleId="12">
    <w:name w:val="Footer Char"/>
    <w:basedOn w:val="5"/>
    <w:link w:val="2"/>
    <w:semiHidden/>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1213</Words>
  <Characters>6919</Characters>
  <Lines>57</Lines>
  <Paragraphs>16</Paragraphs>
  <TotalTime>1</TotalTime>
  <ScaleCrop>false</ScaleCrop>
  <LinksUpToDate>false</LinksUpToDate>
  <CharactersWithSpaces>8116</CharactersWithSpaces>
  <Application>WPS Office_10.2.0.7587_F1E327BC-269C-435d-A152-05C5408002CA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2019-01-17T13:35:00Z</dcterms:created>
  <dc:creator>Mary</dc:creator>
  <cp:lastModifiedBy>GODIH</cp:lastModifiedBy>
  <dcterms:modified xsi:type="dcterms:W3CDTF">2019-01-17T17:40:51Z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2057-10.2.0.7587</vt:lpwstr>
  </property>
</Properties>
</file>